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b w:val="0"/>
          <w:i w:val="1"/>
          <w:color w:val="999999"/>
          <w:sz w:val="20"/>
          <w:szCs w:val="20"/>
        </w:rPr>
      </w:pPr>
      <w:bookmarkStart w:colFirst="0" w:colLast="0" w:name="_r4hluuoj9jar"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contextualSpacing w:val="0"/>
        <w:rPr>
          <w:color w:val="4472c4"/>
          <w:sz w:val="36"/>
          <w:szCs w:val="36"/>
        </w:rPr>
      </w:pPr>
      <w:bookmarkStart w:colFirst="0" w:colLast="0" w:name="_oq2em94kve6v" w:id="1"/>
      <w:bookmarkEnd w:id="1"/>
      <w:r w:rsidDel="00000000" w:rsidR="00000000" w:rsidRPr="00000000">
        <w:rPr>
          <w:color w:val="4472c4"/>
          <w:sz w:val="36"/>
          <w:szCs w:val="36"/>
          <w:rtl w:val="0"/>
        </w:rPr>
        <w:t xml:space="preserve">2016 Alert campaign - Overview</w:t>
      </w:r>
    </w:p>
    <w:p w:rsidR="00000000" w:rsidDel="00000000" w:rsidP="00000000" w:rsidRDefault="00000000" w:rsidRPr="00000000" w14:paraId="00000002">
      <w:pPr>
        <w:contextualSpacing w:val="0"/>
        <w:rPr>
          <w:rFonts w:ascii="Arial" w:cs="Arial" w:eastAsia="Arial" w:hAnsi="Arial"/>
          <w:smallCaps w:val="1"/>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In 2016 </w:t>
      </w:r>
      <w:r w:rsidDel="00000000" w:rsidR="00000000" w:rsidRPr="00000000">
        <w:rPr>
          <w:rtl w:val="0"/>
        </w:rPr>
        <w:t xml:space="preserve">NETCARE scientists conducted two measurement campaigns at the Dr. Neil Trivett Global Atmosphere Watch Observatory (the “Alert Observatory”) on the northeastern tip of Ellesmere Island in the Canadian Arctic (latitude: 82.5163, longitude: -62.3085).  </w:t>
      </w: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The first campaign happened in March and was focused on ice nucleating particles and aerosol particle composition.  Further measurements were made in the summer (June- Sept) on aerosol particle size and number density, gas phase species, aerosol optical properties, aerosol particle composition, and soluble gases and ions in particulate matter.</w:t>
      </w: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pStyle w:val="Heading1"/>
        <w:contextualSpacing w:val="0"/>
        <w:rPr/>
      </w:pPr>
      <w:bookmarkStart w:colFirst="0" w:colLast="0" w:name="_toa30pnvufu7" w:id="2"/>
      <w:bookmarkEnd w:id="2"/>
      <w:r w:rsidDel="00000000" w:rsidR="00000000" w:rsidRPr="00000000">
        <w:rPr>
          <w:rtl w:val="0"/>
        </w:rPr>
        <w:t xml:space="preserve">Institutions Involved</w:t>
      </w:r>
    </w:p>
    <w:p w:rsidR="00000000" w:rsidDel="00000000" w:rsidP="00000000" w:rsidRDefault="00000000" w:rsidRPr="00000000" w14:paraId="00000008">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University of Toronto</w:t>
      </w:r>
    </w:p>
    <w:p w:rsidR="00000000" w:rsidDel="00000000" w:rsidP="00000000" w:rsidRDefault="00000000" w:rsidRPr="00000000" w14:paraId="00000009">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University of British Columbia</w:t>
      </w:r>
    </w:p>
    <w:p w:rsidR="00000000" w:rsidDel="00000000" w:rsidP="00000000" w:rsidRDefault="00000000" w:rsidRPr="00000000" w14:paraId="0000000A">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Environment and Climate Change Canada</w:t>
      </w:r>
    </w:p>
    <w:p w:rsidR="00000000" w:rsidDel="00000000" w:rsidP="00000000" w:rsidRDefault="00000000" w:rsidRPr="00000000" w14:paraId="0000000B">
      <w:pPr>
        <w:ind w:left="360" w:firstLine="0"/>
        <w:contextualSpacing w:val="0"/>
        <w:rPr>
          <w:i w:val="1"/>
        </w:rPr>
      </w:pPr>
      <w:r w:rsidDel="00000000" w:rsidR="00000000" w:rsidRPr="00000000">
        <w:rPr>
          <w:rtl w:val="0"/>
        </w:rPr>
      </w:r>
    </w:p>
    <w:p w:rsidR="00000000" w:rsidDel="00000000" w:rsidP="00000000" w:rsidRDefault="00000000" w:rsidRPr="00000000" w14:paraId="0000000C">
      <w:pPr>
        <w:pStyle w:val="Heading1"/>
        <w:contextualSpacing w:val="0"/>
        <w:rPr/>
      </w:pPr>
      <w:bookmarkStart w:colFirst="0" w:colLast="0" w:name="_ml9x7jubp1ea" w:id="3"/>
      <w:bookmarkEnd w:id="3"/>
      <w:r w:rsidDel="00000000" w:rsidR="00000000" w:rsidRPr="00000000">
        <w:rPr>
          <w:rtl w:val="0"/>
        </w:rPr>
        <w:t xml:space="preserve">Data sets</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tl w:val="0"/>
        </w:rPr>
        <w:t xml:space="preserve">Atmospheric gas phase species</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tl w:val="0"/>
        </w:rPr>
        <w:t xml:space="preserve">Atmospheric aerosol particle size and number density</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tl w:val="0"/>
        </w:rPr>
        <w:t xml:space="preserve">Atmospheric aerosol particle composition</w:t>
      </w:r>
    </w:p>
    <w:p w:rsidR="00000000" w:rsidDel="00000000" w:rsidP="00000000" w:rsidRDefault="00000000" w:rsidRPr="00000000" w14:paraId="00000010">
      <w:pPr>
        <w:widowControl w:val="0"/>
        <w:numPr>
          <w:ilvl w:val="0"/>
          <w:numId w:val="1"/>
        </w:numPr>
        <w:ind w:left="720" w:hanging="360"/>
        <w:contextualSpacing w:val="1"/>
        <w:rPr>
          <w:rFonts w:ascii="Calibri" w:cs="Calibri" w:eastAsia="Calibri" w:hAnsi="Calibri"/>
        </w:rPr>
      </w:pPr>
      <w:r w:rsidDel="00000000" w:rsidR="00000000" w:rsidRPr="00000000">
        <w:rPr>
          <w:rtl w:val="0"/>
        </w:rPr>
        <w:t xml:space="preserve">Atmospheric aerosol particle optical properties</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tl w:val="0"/>
        </w:rPr>
        <w:t xml:space="preserve">Number of ice cloud forming particles</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tl w:val="0"/>
        </w:rPr>
        <w:t xml:space="preserve">Soluble gases and ions in particulate matter</w:t>
      </w:r>
    </w:p>
    <w:p w:rsidR="00000000" w:rsidDel="00000000" w:rsidP="00000000" w:rsidRDefault="00000000" w:rsidRPr="00000000" w14:paraId="00000013">
      <w:pPr>
        <w:widowControl w:val="0"/>
        <w:contextualSpacing w:val="0"/>
        <w:rPr/>
      </w:pPr>
      <w:r w:rsidDel="00000000" w:rsidR="00000000" w:rsidRPr="00000000">
        <w:rPr>
          <w:rtl w:val="0"/>
        </w:rPr>
      </w:r>
    </w:p>
    <w:p w:rsidR="00000000" w:rsidDel="00000000" w:rsidP="00000000" w:rsidRDefault="00000000" w:rsidRPr="00000000" w14:paraId="00000014">
      <w:pPr>
        <w:widowControl w:val="0"/>
        <w:contextualSpacing w:val="0"/>
        <w:rPr/>
      </w:pPr>
      <w:r w:rsidDel="00000000" w:rsidR="00000000" w:rsidRPr="00000000">
        <w:rPr>
          <w:rtl w:val="0"/>
        </w:rPr>
      </w:r>
    </w:p>
    <w:p w:rsidR="00000000" w:rsidDel="00000000" w:rsidP="00000000" w:rsidRDefault="00000000" w:rsidRPr="00000000" w14:paraId="00000015">
      <w:pPr>
        <w:widowControl w:val="0"/>
        <w:contextualSpacing w:val="0"/>
        <w:rPr/>
      </w:pPr>
      <w:r w:rsidDel="00000000" w:rsidR="00000000" w:rsidRPr="00000000">
        <w:rPr>
          <w:rtl w:val="0"/>
        </w:rPr>
      </w:r>
    </w:p>
    <w:p w:rsidR="00000000" w:rsidDel="00000000" w:rsidP="00000000" w:rsidRDefault="00000000" w:rsidRPr="00000000" w14:paraId="00000016">
      <w:pPr>
        <w:widowControl w:val="0"/>
        <w:contextualSpacing w:val="0"/>
        <w:rPr/>
      </w:pPr>
      <w:r w:rsidDel="00000000" w:rsidR="00000000" w:rsidRPr="00000000">
        <w:rPr>
          <w:rtl w:val="0"/>
        </w:rPr>
      </w:r>
    </w:p>
    <w:p w:rsidR="00000000" w:rsidDel="00000000" w:rsidP="00000000" w:rsidRDefault="00000000" w:rsidRPr="00000000" w14:paraId="00000017">
      <w:pPr>
        <w:widowControl w:val="0"/>
        <w:contextualSpacing w:val="0"/>
        <w:rPr/>
      </w:pPr>
      <w:r w:rsidDel="00000000" w:rsidR="00000000" w:rsidRPr="00000000">
        <w:rPr>
          <w:rtl w:val="0"/>
        </w:rPr>
      </w:r>
    </w:p>
    <w:p w:rsidR="00000000" w:rsidDel="00000000" w:rsidP="00000000" w:rsidRDefault="00000000" w:rsidRPr="00000000" w14:paraId="00000018">
      <w:pPr>
        <w:widowControl w:val="0"/>
        <w:spacing w:after="200" w:line="276" w:lineRule="auto"/>
        <w:contextualSpacing w:val="0"/>
        <w:jc w:val="center"/>
        <w:rPr>
          <w:color w:val="999999"/>
        </w:rPr>
      </w:pPr>
      <w:r w:rsidDel="00000000" w:rsidR="00000000" w:rsidRPr="00000000">
        <w:rPr>
          <w:color w:val="999999"/>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spacing w:after="200" w:line="276" w:lineRule="auto"/>
        <w:contextualSpacing w:val="0"/>
        <w:rPr>
          <w:b w:val="1"/>
          <w:color w:val="4472c4"/>
          <w:sz w:val="36"/>
          <w:szCs w:val="36"/>
        </w:rPr>
      </w:pPr>
      <w:r w:rsidDel="00000000" w:rsidR="00000000" w:rsidRPr="00000000">
        <w:rPr>
          <w:b w:val="1"/>
          <w:color w:val="4472c4"/>
          <w:sz w:val="36"/>
          <w:szCs w:val="36"/>
          <w:rtl w:val="0"/>
        </w:rPr>
        <w:t xml:space="preserve">Campagne 2016 à Alert – Vue d’ensemble</w:t>
      </w:r>
    </w:p>
    <w:p w:rsidR="00000000" w:rsidDel="00000000" w:rsidP="00000000" w:rsidRDefault="00000000" w:rsidRPr="00000000" w14:paraId="0000001A">
      <w:pPr>
        <w:widowControl w:val="0"/>
        <w:spacing w:after="200" w:line="276" w:lineRule="auto"/>
        <w:contextualSpacing w:val="0"/>
        <w:rPr>
          <w:rFonts w:ascii="Arial" w:cs="Arial" w:eastAsia="Arial" w:hAnsi="Arial"/>
          <w:smallCaps w:val="1"/>
        </w:rPr>
      </w:pPr>
      <w:r w:rsidDel="00000000" w:rsidR="00000000" w:rsidRPr="00000000">
        <w:rPr>
          <w:rFonts w:ascii="Arial" w:cs="Arial" w:eastAsia="Arial" w:hAnsi="Arial"/>
          <w:smallCaps w:val="1"/>
          <w:rtl w:val="0"/>
        </w:rPr>
        <w:t xml:space="preserve"> </w:t>
      </w:r>
    </w:p>
    <w:p w:rsidR="00000000" w:rsidDel="00000000" w:rsidP="00000000" w:rsidRDefault="00000000" w:rsidRPr="00000000" w14:paraId="0000001B">
      <w:pPr>
        <w:widowControl w:val="0"/>
        <w:spacing w:after="200" w:line="276" w:lineRule="auto"/>
        <w:contextualSpacing w:val="0"/>
        <w:rPr/>
      </w:pPr>
      <w:r w:rsidDel="00000000" w:rsidR="00000000" w:rsidRPr="00000000">
        <w:rPr>
          <w:rtl w:val="0"/>
        </w:rPr>
        <w:t xml:space="preserve">En 2016, les scientifiques de NETCARE ont réalisé deux campagnes d’échantillonnage à l’observatoire de veille de l’atmosphère du globe du docteur Neil Trivett (« Observatoire Alert ») à l’extrémité nord-est de l’île d’Ellesmere dans l’Arctique canadien (latitude : 82,5163; longitude : -62,3085). La première campagne a eu lieu en mars et s’est concentrée sur les particules de glace en nucléation et la composition des particules d’aérosols. D’autres mesures ont été prises pendant l’été (juin – septembre) sur la taille et la densité des particules d’aérosols, la phase gazeuse des espèces chimiques, les propriétés optiques des aérosols, les ions et gaz solubles dans les particules en suspension dans l’air.</w:t>
      </w:r>
    </w:p>
    <w:p w:rsidR="00000000" w:rsidDel="00000000" w:rsidP="00000000" w:rsidRDefault="00000000" w:rsidRPr="00000000" w14:paraId="0000001C">
      <w:pPr>
        <w:widowControl w:val="0"/>
        <w:spacing w:after="200" w:line="276" w:lineRule="auto"/>
        <w:contextualSpacing w:val="0"/>
        <w:rPr/>
      </w:pPr>
      <w:r w:rsidDel="00000000" w:rsidR="00000000" w:rsidRPr="00000000">
        <w:rPr>
          <w:rtl w:val="0"/>
        </w:rPr>
        <w:t xml:space="preserve"> </w:t>
      </w:r>
    </w:p>
    <w:p w:rsidR="00000000" w:rsidDel="00000000" w:rsidP="00000000" w:rsidRDefault="00000000" w:rsidRPr="00000000" w14:paraId="0000001D">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b9liszon8odv" w:id="4"/>
      <w:bookmarkEnd w:id="4"/>
      <w:r w:rsidDel="00000000" w:rsidR="00000000" w:rsidRPr="00000000">
        <w:rPr>
          <w:rtl w:val="0"/>
        </w:rPr>
        <w:t xml:space="preserve">Institutions impliquées</w:t>
      </w:r>
    </w:p>
    <w:p w:rsidR="00000000" w:rsidDel="00000000" w:rsidP="00000000" w:rsidRDefault="00000000" w:rsidRPr="00000000" w14:paraId="0000001E">
      <w:pPr>
        <w:widowControl w:val="0"/>
        <w:spacing w:after="0" w:line="276" w:lineRule="auto"/>
        <w:ind w:left="1080" w:hanging="360"/>
        <w:contextualSpacing w:val="0"/>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Toronto</w:t>
      </w:r>
    </w:p>
    <w:p w:rsidR="00000000" w:rsidDel="00000000" w:rsidP="00000000" w:rsidRDefault="00000000" w:rsidRPr="00000000" w14:paraId="0000001F">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Colombie Britannique</w:t>
      </w:r>
    </w:p>
    <w:p w:rsidR="00000000" w:rsidDel="00000000" w:rsidP="00000000" w:rsidRDefault="00000000" w:rsidRPr="00000000" w14:paraId="00000020">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Environnement et Changement climatique Canada</w:t>
      </w:r>
    </w:p>
    <w:p w:rsidR="00000000" w:rsidDel="00000000" w:rsidP="00000000" w:rsidRDefault="00000000" w:rsidRPr="00000000" w14:paraId="00000021">
      <w:pPr>
        <w:widowControl w:val="0"/>
        <w:spacing w:after="200" w:line="276" w:lineRule="auto"/>
        <w:ind w:left="360" w:firstLine="0"/>
        <w:contextualSpacing w:val="0"/>
        <w:rPr>
          <w:i w:val="1"/>
        </w:rPr>
      </w:pPr>
      <w:r w:rsidDel="00000000" w:rsidR="00000000" w:rsidRPr="00000000">
        <w:rPr>
          <w:i w:val="1"/>
          <w:rtl w:val="0"/>
        </w:rPr>
        <w:t xml:space="preserve"> </w:t>
      </w:r>
    </w:p>
    <w:p w:rsidR="00000000" w:rsidDel="00000000" w:rsidP="00000000" w:rsidRDefault="00000000" w:rsidRPr="00000000" w14:paraId="00000022">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fc2hpeklmsbc" w:id="5"/>
      <w:bookmarkEnd w:id="5"/>
      <w:r w:rsidDel="00000000" w:rsidR="00000000" w:rsidRPr="00000000">
        <w:rPr>
          <w:rtl w:val="0"/>
        </w:rPr>
        <w:t xml:space="preserve">Ensemble de données</w:t>
      </w:r>
    </w:p>
    <w:p w:rsidR="00000000" w:rsidDel="00000000" w:rsidP="00000000" w:rsidRDefault="00000000" w:rsidRPr="00000000" w14:paraId="00000023">
      <w:pPr>
        <w:widowControl w:val="0"/>
        <w:spacing w:after="0" w:line="276" w:lineRule="auto"/>
        <w:ind w:left="1080" w:hanging="360"/>
        <w:contextualSpacing w:val="0"/>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Phase gazeuse des espèces chimiques dans l’atmosphère</w:t>
      </w:r>
    </w:p>
    <w:p w:rsidR="00000000" w:rsidDel="00000000" w:rsidP="00000000" w:rsidRDefault="00000000" w:rsidRPr="00000000" w14:paraId="00000024">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Taille et densité des particules d’aérosols atmosphériques</w:t>
      </w:r>
    </w:p>
    <w:p w:rsidR="00000000" w:rsidDel="00000000" w:rsidP="00000000" w:rsidRDefault="00000000" w:rsidRPr="00000000" w14:paraId="00000025">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Composition des particules d’aérosols atmosphériques</w:t>
      </w:r>
    </w:p>
    <w:p w:rsidR="00000000" w:rsidDel="00000000" w:rsidP="00000000" w:rsidRDefault="00000000" w:rsidRPr="00000000" w14:paraId="00000026">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Propriétés optiques des particules d’aérosols atmosphériques</w:t>
      </w:r>
    </w:p>
    <w:p w:rsidR="00000000" w:rsidDel="00000000" w:rsidP="00000000" w:rsidRDefault="00000000" w:rsidRPr="00000000" w14:paraId="00000027">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Nombre de particules formant les nuages de glace</w:t>
      </w:r>
    </w:p>
    <w:p w:rsidR="00000000" w:rsidDel="00000000" w:rsidP="00000000" w:rsidRDefault="00000000" w:rsidRPr="00000000" w14:paraId="00000028">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Gaz solubles et ions dans les particules en suspension dans l’air</w:t>
      </w:r>
    </w:p>
    <w:p w:rsidR="00000000" w:rsidDel="00000000" w:rsidP="00000000" w:rsidRDefault="00000000" w:rsidRPr="00000000" w14:paraId="00000029">
      <w:pPr>
        <w:widowControl w:val="0"/>
        <w:spacing w:after="200" w:line="276" w:lineRule="auto"/>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